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rPr>
          <w:highlight w:val="none"/>
        </w:rPr>
      </w:pPr>
      <w:r>
        <w:rPr>
          <w:highlight w:val="none"/>
        </w:rPr>
        <w:t>江苏省宿迁中学学校田径场改造项目</w:t>
      </w:r>
      <w:r>
        <w:rPr>
          <w:highlight w:val="none"/>
        </w:rPr>
        <w:br w:type="textWrapping"/>
      </w:r>
      <w:r>
        <w:rPr>
          <w:highlight w:val="none"/>
        </w:rPr>
        <w:t>工程量清单编制说明</w:t>
      </w:r>
    </w:p>
    <w:p>
      <w:pPr>
        <w:pStyle w:val="17"/>
        <w:numPr>
          <w:ilvl w:val="0"/>
          <w:numId w:val="1"/>
        </w:numPr>
        <w:tabs>
          <w:tab w:val="left" w:pos="1041"/>
        </w:tabs>
        <w:topLinePunct w:val="0"/>
        <w:ind w:left="0" w:leftChars="0" w:firstLine="482" w:firstLineChars="200"/>
        <w:outlineLvl w:val="0"/>
        <w:rPr>
          <w:rFonts w:hint="eastAsia" w:ascii="宋体" w:hAnsi="宋体" w:eastAsia="宋体" w:cs="宋体"/>
          <w:b/>
          <w:highlight w:val="none"/>
        </w:rPr>
      </w:pPr>
      <w:r>
        <w:rPr>
          <w:highlight w:val="none"/>
        </w:rPr>
        <w:t>工程概况</w:t>
      </w:r>
    </w:p>
    <w:p>
      <w:pPr>
        <w:pStyle w:val="11"/>
        <w:ind w:left="0" w:leftChars="0" w:firstLine="480" w:firstLineChars="200"/>
        <w:rPr>
          <w:rFonts w:ascii="Times New Roman" w:hAnsi="Times New Roman" w:eastAsia="宋体" w:cs="Times New Roman"/>
          <w:color w:val="auto"/>
          <w:sz w:val="24"/>
        </w:rPr>
      </w:pPr>
      <w:r>
        <w:rPr>
          <w:rFonts w:ascii="Times New Roman" w:hAnsi="Times New Roman" w:eastAsia="宋体" w:cs="Times New Roman"/>
          <w:color w:val="auto"/>
          <w:sz w:val="24"/>
        </w:rPr>
        <w:t>本项目为江苏省宿迁中学学校田径场改造项目，建设地点位于江苏省宿迁中学校内。本工程属于既有场地改造项目，主要施工内容包括但不限于：运动场原有塑胶面层拆除、场地基底清理及找平、混凝土找坡层施工、新塑胶面层铺设（含跑道、跳远沙坑、跳高区等专项区域）、足球场原有面层拆除及新人造草皮铺设（含底层铺垫、固定系统）、场内原有排水沟清淤、破损部位维修及防渗处理、铅球场改造（含面层、围网、标识）、看台外立面翻新（含基层处理、涂料/装饰面层）、看台地坪改造（含基层修补、面层铺设）、场内钢网架除锈、防腐及刷漆工程，以及配套的场地标识标线恢复、零星附属设施维修等。</w:t>
      </w:r>
    </w:p>
    <w:p>
      <w:pPr>
        <w:pStyle w:val="17"/>
        <w:widowControl/>
        <w:numPr>
          <w:ilvl w:val="0"/>
          <w:numId w:val="1"/>
        </w:numPr>
        <w:tabs>
          <w:tab w:val="left" w:pos="1041"/>
        </w:tabs>
        <w:topLinePunct w:val="0"/>
        <w:ind w:left="0" w:leftChars="0" w:firstLine="482" w:firstLineChars="200"/>
        <w:outlineLvl w:val="0"/>
        <w:rPr>
          <w:rFonts w:hint="eastAsia" w:ascii="宋体" w:hAnsi="宋体" w:eastAsia="宋体" w:cs="宋体"/>
          <w:b/>
          <w:highlight w:val="none"/>
        </w:rPr>
      </w:pPr>
      <w:r>
        <w:rPr>
          <w:highlight w:val="none"/>
        </w:rPr>
        <w:t>编制范围</w:t>
      </w:r>
    </w:p>
    <w:p>
      <w:pPr>
        <w:pStyle w:val="11"/>
        <w:widowControl/>
        <w:ind w:left="0" w:leftChars="0" w:firstLine="480" w:firstLineChars="200"/>
        <w:rPr>
          <w:rFonts w:ascii="Times New Roman" w:hAnsi="Times New Roman" w:eastAsia="宋体" w:cs="Times New Roman"/>
          <w:color w:val="auto"/>
          <w:sz w:val="24"/>
        </w:rPr>
      </w:pPr>
      <w:r>
        <w:rPr>
          <w:rFonts w:ascii="Times New Roman" w:hAnsi="Times New Roman" w:eastAsia="宋体" w:cs="Times New Roman"/>
          <w:color w:val="auto"/>
          <w:sz w:val="24"/>
        </w:rPr>
        <w:t>本工程量清单编制范围涵盖：本项目设计图纸及工程量清单中明确的全部施工内容，包括各分部分项工程、措施项目、其他项目、规费及税金对应的全部工作内容，确保无漏项、无重复。</w:t>
      </w:r>
    </w:p>
    <w:p>
      <w:pPr>
        <w:pStyle w:val="17"/>
        <w:numPr>
          <w:ilvl w:val="0"/>
          <w:numId w:val="1"/>
        </w:numPr>
        <w:tabs>
          <w:tab w:val="left" w:pos="1041"/>
        </w:tabs>
        <w:topLinePunct w:val="0"/>
        <w:ind w:left="0" w:leftChars="0" w:firstLine="482" w:firstLineChars="200"/>
        <w:outlineLvl w:val="0"/>
        <w:rPr>
          <w:rFonts w:hint="eastAsia" w:ascii="宋体" w:hAnsi="宋体" w:eastAsia="宋体" w:cs="宋体"/>
          <w:b/>
        </w:rPr>
      </w:pPr>
      <w:r>
        <w:rPr>
          <w:highlight w:val="none"/>
        </w:rPr>
        <w:t>编制依据：</w:t>
      </w:r>
    </w:p>
    <w:p>
      <w:pPr>
        <w:pStyle w:val="11"/>
        <w:widowControl/>
        <w:numPr>
          <w:ilvl w:val="0"/>
          <w:numId w:val="2"/>
        </w:numPr>
        <w:tabs>
          <w:tab w:val="left" w:pos="482"/>
          <w:tab w:val="clear" w:pos="210"/>
        </w:tabs>
        <w:ind w:left="879" w:leftChars="0" w:hanging="397" w:firstLineChars="0"/>
        <w:rPr>
          <w:rFonts w:ascii="Times New Roman" w:hAnsi="Times New Roman" w:eastAsia="宋体" w:cs="Times New Roman"/>
          <w:color w:val="auto"/>
          <w:sz w:val="24"/>
        </w:rPr>
      </w:pPr>
      <w:r>
        <w:rPr>
          <w:rFonts w:ascii="Times New Roman" w:hAnsi="Times New Roman" w:eastAsia="宋体" w:cs="Times New Roman"/>
          <w:color w:val="auto"/>
          <w:sz w:val="24"/>
        </w:rPr>
        <w:t>项目相关施工设计图纸（含设计说明、标准图集、节点详图）及设计交底文件；</w:t>
      </w:r>
    </w:p>
    <w:p>
      <w:pPr>
        <w:pStyle w:val="11"/>
        <w:widowControl/>
        <w:numPr>
          <w:ilvl w:val="0"/>
          <w:numId w:val="2"/>
        </w:numPr>
        <w:tabs>
          <w:tab w:val="left" w:pos="482"/>
          <w:tab w:val="clear" w:pos="210"/>
        </w:tabs>
        <w:ind w:left="879" w:leftChars="0" w:hanging="397" w:firstLineChars="0"/>
        <w:rPr>
          <w:rFonts w:ascii="Times New Roman" w:hAnsi="Times New Roman" w:eastAsia="宋体" w:cs="Times New Roman"/>
          <w:color w:val="auto"/>
          <w:sz w:val="24"/>
        </w:rPr>
      </w:pPr>
      <w:r>
        <w:rPr>
          <w:rFonts w:ascii="Times New Roman" w:hAnsi="Times New Roman" w:eastAsia="宋体" w:cs="Times New Roman"/>
          <w:color w:val="auto"/>
          <w:sz w:val="24"/>
        </w:rPr>
        <w:t>本项目现场勘察记录、现场实测数据及场地现状照片等资料；</w:t>
      </w:r>
    </w:p>
    <w:p>
      <w:pPr>
        <w:pStyle w:val="11"/>
        <w:widowControl/>
        <w:numPr>
          <w:ilvl w:val="0"/>
          <w:numId w:val="2"/>
        </w:numPr>
        <w:tabs>
          <w:tab w:val="left" w:pos="482"/>
          <w:tab w:val="clear" w:pos="210"/>
        </w:tabs>
        <w:ind w:left="879" w:leftChars="0" w:hanging="397" w:firstLineChars="0"/>
        <w:rPr>
          <w:rFonts w:ascii="Times New Roman" w:hAnsi="Times New Roman" w:eastAsia="宋体" w:cs="Times New Roman"/>
          <w:color w:val="auto"/>
          <w:sz w:val="24"/>
        </w:rPr>
      </w:pPr>
      <w:r>
        <w:rPr>
          <w:rFonts w:ascii="Times New Roman" w:hAnsi="Times New Roman" w:eastAsia="宋体" w:cs="Times New Roman"/>
          <w:color w:val="auto"/>
          <w:sz w:val="24"/>
        </w:rPr>
        <w:t>与本工程相关的国家、行业及地方现行标准、规范、规程、技术资料（包括但不限于塑胶跑道、人造草皮、钢结构防腐、建筑装饰、市政排水等相关规范）；</w:t>
      </w:r>
    </w:p>
    <w:p>
      <w:pPr>
        <w:pStyle w:val="11"/>
        <w:widowControl/>
        <w:numPr>
          <w:ilvl w:val="0"/>
          <w:numId w:val="2"/>
        </w:numPr>
        <w:tabs>
          <w:tab w:val="left" w:pos="482"/>
          <w:tab w:val="clear" w:pos="210"/>
        </w:tabs>
        <w:ind w:left="879" w:leftChars="0" w:hanging="397" w:firstLineChars="0"/>
        <w:rPr>
          <w:rFonts w:ascii="Times New Roman" w:hAnsi="Times New Roman" w:eastAsia="宋体" w:cs="Times New Roman"/>
          <w:color w:val="auto"/>
          <w:sz w:val="24"/>
        </w:rPr>
      </w:pPr>
      <w:r>
        <w:rPr>
          <w:rFonts w:ascii="Times New Roman" w:hAnsi="Times New Roman" w:eastAsia="宋体" w:cs="Times New Roman"/>
          <w:color w:val="auto"/>
          <w:sz w:val="24"/>
        </w:rPr>
        <w:t>清单计价依据：《建设工程工程量清单计价规范》GB50500-2013、《房屋建筑与装饰工程工程量清单计算规范》GB50854-2013、《市政工程工程量计算规范》GB50857-2013、《通用安装工程工程量计算规范》GB50856-2013（补充钢网架相关）；</w:t>
      </w:r>
    </w:p>
    <w:p>
      <w:pPr>
        <w:pStyle w:val="11"/>
        <w:widowControl/>
        <w:numPr>
          <w:ilvl w:val="0"/>
          <w:numId w:val="2"/>
        </w:numPr>
        <w:tabs>
          <w:tab w:val="left" w:pos="482"/>
          <w:tab w:val="clear" w:pos="210"/>
        </w:tabs>
        <w:ind w:left="879" w:leftChars="0" w:hanging="397" w:firstLineChars="0"/>
        <w:rPr>
          <w:rFonts w:ascii="Times New Roman" w:hAnsi="Times New Roman" w:eastAsia="宋体" w:cs="Times New Roman"/>
          <w:color w:val="auto"/>
          <w:sz w:val="24"/>
        </w:rPr>
      </w:pPr>
      <w:r>
        <w:rPr>
          <w:rFonts w:ascii="Times New Roman" w:hAnsi="Times New Roman" w:eastAsia="宋体" w:cs="Times New Roman"/>
          <w:color w:val="auto"/>
          <w:sz w:val="24"/>
        </w:rPr>
        <w:t>江苏省及宿迁市现行工程造价管理相关规定、计价政策；</w:t>
      </w:r>
    </w:p>
    <w:p>
      <w:pPr>
        <w:pStyle w:val="11"/>
        <w:widowControl/>
        <w:numPr>
          <w:ilvl w:val="0"/>
          <w:numId w:val="2"/>
        </w:numPr>
        <w:tabs>
          <w:tab w:val="left" w:pos="482"/>
          <w:tab w:val="clear" w:pos="210"/>
        </w:tabs>
        <w:ind w:left="879" w:leftChars="0" w:hanging="397" w:firstLineChars="0"/>
        <w:rPr>
          <w:rFonts w:ascii="Times New Roman" w:hAnsi="Times New Roman" w:eastAsia="宋体" w:cs="Times New Roman"/>
          <w:color w:val="auto"/>
          <w:sz w:val="24"/>
        </w:rPr>
      </w:pPr>
      <w:r>
        <w:rPr>
          <w:rFonts w:ascii="Times New Roman" w:hAnsi="Times New Roman" w:eastAsia="宋体" w:cs="Times New Roman"/>
          <w:color w:val="auto"/>
          <w:sz w:val="24"/>
        </w:rPr>
        <w:t>招标人提供的与本项目相关的其他基础资料。</w:t>
      </w:r>
    </w:p>
    <w:p>
      <w:pPr>
        <w:pStyle w:val="17"/>
        <w:numPr>
          <w:ilvl w:val="0"/>
          <w:numId w:val="1"/>
        </w:numPr>
        <w:tabs>
          <w:tab w:val="left" w:pos="1041"/>
        </w:tabs>
        <w:topLinePunct w:val="0"/>
        <w:ind w:left="0" w:leftChars="0" w:firstLine="482" w:firstLineChars="200"/>
        <w:outlineLvl w:val="0"/>
        <w:rPr>
          <w:rFonts w:hint="eastAsia" w:ascii="宋体" w:hAnsi="宋体" w:eastAsia="宋体" w:cs="宋体"/>
          <w:b/>
          <w:highlight w:val="none"/>
        </w:rPr>
      </w:pPr>
      <w:r>
        <w:rPr>
          <w:highlight w:val="none"/>
        </w:rPr>
        <w:t>其它说明</w:t>
      </w:r>
    </w:p>
    <w:p>
      <w:pPr>
        <w:pStyle w:val="11"/>
        <w:widowControl/>
        <w:numPr>
          <w:ilvl w:val="0"/>
          <w:numId w:val="3"/>
        </w:numPr>
        <w:tabs>
          <w:tab w:val="left" w:pos="482"/>
          <w:tab w:val="clear" w:pos="210"/>
        </w:tabs>
        <w:ind w:left="879" w:leftChars="0" w:hanging="397" w:firstLineChars="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color w:val="auto"/>
          <w:sz w:val="24"/>
        </w:rPr>
        <w:t>所有拆除项目（含塑胶面层、原有草皮、破损地坪、废弃构件等）的弃料由施工方全权处置，需严格按照宿迁市建筑垃圾处置相关规定，完成垃圾清理、分类及外运工作，确保拆除后场地整洁，</w:t>
      </w:r>
      <w:r>
        <w:rPr>
          <w:rFonts w:hint="eastAsia" w:cs="Times New Roman"/>
          <w:color w:val="auto"/>
          <w:sz w:val="24"/>
          <w:lang w:eastAsia="zh-CN"/>
        </w:rPr>
        <w:t>外运距离由投标单位勘察现场自行确定</w:t>
      </w:r>
      <w:r>
        <w:rPr>
          <w:rFonts w:ascii="Times New Roman" w:hAnsi="Times New Roman" w:eastAsia="宋体" w:cs="Times New Roman"/>
          <w:color w:val="auto"/>
          <w:sz w:val="24"/>
        </w:rPr>
        <w:t>。</w:t>
      </w:r>
    </w:p>
    <w:p>
      <w:pPr>
        <w:pStyle w:val="11"/>
        <w:widowControl/>
        <w:numPr>
          <w:ilvl w:val="0"/>
          <w:numId w:val="3"/>
        </w:numPr>
        <w:tabs>
          <w:tab w:val="left" w:pos="482"/>
          <w:tab w:val="clear" w:pos="210"/>
        </w:tabs>
        <w:ind w:left="879" w:leftChars="0" w:hanging="397" w:firstLineChars="0"/>
        <w:rPr>
          <w:rFonts w:ascii="Times New Roman" w:hAnsi="Times New Roman" w:eastAsia="宋体" w:cs="Times New Roman"/>
          <w:color w:val="auto"/>
          <w:sz w:val="24"/>
        </w:rPr>
      </w:pPr>
      <w:r>
        <w:rPr>
          <w:rFonts w:ascii="Times New Roman" w:hAnsi="Times New Roman" w:eastAsia="宋体" w:cs="Times New Roman"/>
          <w:color w:val="auto"/>
          <w:sz w:val="24"/>
        </w:rPr>
        <w:t>投标人应按照招标文件要求的时间自行组织人员勘察现场，全面了解场地现状、周边环境、地下管线（给排水、电力、通信等）分布、交通通行限制及学校正常教学秩序对施工的影响，按设计图纸、现行规范及本工程量清单要求，结合现场实际情况综合考虑施工组织方案，自主报价，报价一经提交，视为已充分掌握现场所有情况，后续不得因现场条件差异提出任何调价申请。</w:t>
      </w:r>
    </w:p>
    <w:p>
      <w:pPr>
        <w:pStyle w:val="11"/>
        <w:widowControl/>
        <w:numPr>
          <w:ilvl w:val="0"/>
          <w:numId w:val="3"/>
        </w:numPr>
        <w:tabs>
          <w:tab w:val="left" w:pos="482"/>
          <w:tab w:val="clear" w:pos="210"/>
        </w:tabs>
        <w:ind w:left="879" w:leftChars="0" w:hanging="397" w:firstLineChars="0"/>
        <w:rPr>
          <w:rFonts w:ascii="Times New Roman" w:hAnsi="Times New Roman" w:eastAsia="宋体" w:cs="Times New Roman"/>
          <w:color w:val="auto"/>
          <w:sz w:val="24"/>
        </w:rPr>
      </w:pPr>
      <w:r>
        <w:rPr>
          <w:rFonts w:ascii="Times New Roman" w:hAnsi="Times New Roman" w:eastAsia="宋体" w:cs="Times New Roman"/>
          <w:color w:val="auto"/>
          <w:sz w:val="24"/>
        </w:rPr>
        <w:t>本工程主材价格应参照《宿迁工程造价管理》第2期信息价执行；信息价中未涵盖的主材、特殊材料，参照宿迁市当期市场公允价格计算，投标人报价时需提供主材价格说明（含厂家、规格、质量标准），确保价格真实合理。</w:t>
      </w:r>
    </w:p>
    <w:p>
      <w:pPr>
        <w:pStyle w:val="11"/>
        <w:widowControl/>
        <w:numPr>
          <w:ilvl w:val="0"/>
          <w:numId w:val="3"/>
        </w:numPr>
        <w:tabs>
          <w:tab w:val="left" w:pos="482"/>
          <w:tab w:val="clear" w:pos="210"/>
        </w:tabs>
        <w:ind w:left="879" w:leftChars="0" w:hanging="397" w:firstLineChars="0"/>
        <w:rPr>
          <w:rFonts w:ascii="Times New Roman" w:hAnsi="Times New Roman" w:eastAsia="宋体" w:cs="Times New Roman"/>
          <w:color w:val="auto"/>
          <w:sz w:val="24"/>
        </w:rPr>
      </w:pPr>
      <w:r>
        <w:rPr>
          <w:rFonts w:ascii="Times New Roman" w:hAnsi="Times New Roman" w:eastAsia="宋体" w:cs="Times New Roman"/>
          <w:color w:val="auto"/>
          <w:sz w:val="24"/>
        </w:rPr>
        <w:t>本工程涉及的标准化围挡施工（含围挡搭设、维护、拆除）、施工现场扬尘污染防治措施（含洒水、覆盖、降尘设备、扬尘监测等）、拆除垃圾及施工渣土外运（所有垃圾、渣土需运至招标人指定合法弃置地点）、渣土运输手续费、垃圾处置费等相关费用，均由各投标单位综合考虑在投标报价内，招标人不另行支付。</w:t>
      </w:r>
    </w:p>
    <w:p>
      <w:pPr>
        <w:pStyle w:val="11"/>
        <w:widowControl/>
        <w:numPr>
          <w:ilvl w:val="0"/>
          <w:numId w:val="3"/>
        </w:numPr>
        <w:tabs>
          <w:tab w:val="left" w:pos="482"/>
          <w:tab w:val="clear" w:pos="210"/>
        </w:tabs>
        <w:ind w:left="879" w:leftChars="0" w:hanging="397" w:firstLineChars="0"/>
        <w:rPr>
          <w:rFonts w:ascii="Times New Roman" w:hAnsi="Times New Roman" w:eastAsia="宋体" w:cs="Times New Roman"/>
          <w:color w:val="auto"/>
          <w:sz w:val="24"/>
        </w:rPr>
      </w:pPr>
      <w:r>
        <w:rPr>
          <w:rFonts w:ascii="Times New Roman" w:hAnsi="Times New Roman" w:eastAsia="宋体" w:cs="Times New Roman"/>
          <w:color w:val="auto"/>
          <w:sz w:val="24"/>
        </w:rPr>
        <w:t>本项目为改造工程，工期紧张，且场地排水系统需接入市政管网，施工过程中涉及路面作业、管网接驳等工序，作业人员安全隐患较大。投标人应充分考虑上述不利因素，合理制定施工进度计划、安全保障方案及抢修措施，优化施工组织，确保在规定工期内保质保量完成全部施工任务。因上述因素产生的抢修费用、安全防护费用、工期保障费用等，均综合考虑在投标报价内，工程结算时不予调整。</w:t>
      </w:r>
    </w:p>
    <w:p>
      <w:pPr>
        <w:pStyle w:val="11"/>
        <w:widowControl/>
        <w:numPr>
          <w:ilvl w:val="0"/>
          <w:numId w:val="3"/>
        </w:numPr>
        <w:tabs>
          <w:tab w:val="left" w:pos="482"/>
          <w:tab w:val="clear" w:pos="210"/>
        </w:tabs>
        <w:ind w:left="879" w:leftChars="0" w:hanging="397" w:firstLineChars="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color w:val="auto"/>
          <w:sz w:val="24"/>
        </w:rPr>
        <w:t>中标人在合同履行期内，须足额购买第三者意外事故责任险、建筑工程一切险及施工人员意外伤害险，投保额度需满足本工程施工需求及相关法规要求，投保费用纳入投标报价。</w:t>
      </w:r>
    </w:p>
    <w:p>
      <w:pPr>
        <w:pStyle w:val="11"/>
        <w:widowControl/>
        <w:numPr>
          <w:ilvl w:val="0"/>
          <w:numId w:val="3"/>
        </w:numPr>
        <w:tabs>
          <w:tab w:val="left" w:pos="482"/>
          <w:tab w:val="clear" w:pos="210"/>
        </w:tabs>
        <w:ind w:left="879" w:leftChars="0" w:hanging="397" w:firstLineChars="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color w:val="auto"/>
          <w:sz w:val="24"/>
        </w:rPr>
        <w:t>本工程所有施工材料、施工工艺、工程质量必须符合国家、行业及地方现行标准、规范要求，以及设计图纸规定，塑胶面层、人造草皮、防腐涂料等主要材料需提供产品合格证、检测报告（含环保检测、质量检测），经招标人及监理单位验收合格后方可投入使用，相关检测费用由投标人综合考虑在报价内。</w:t>
      </w:r>
    </w:p>
    <w:p>
      <w:pPr>
        <w:pStyle w:val="11"/>
        <w:widowControl/>
        <w:numPr>
          <w:ilvl w:val="0"/>
          <w:numId w:val="3"/>
        </w:numPr>
        <w:tabs>
          <w:tab w:val="left" w:pos="482"/>
          <w:tab w:val="clear" w:pos="210"/>
        </w:tabs>
        <w:ind w:left="879" w:leftChars="0" w:hanging="397" w:firstLineChars="0"/>
      </w:pPr>
      <w:r>
        <w:rPr>
          <w:rFonts w:ascii="Times New Roman" w:hAnsi="Times New Roman" w:eastAsia="宋体" w:cs="Times New Roman"/>
          <w:color w:val="auto"/>
          <w:sz w:val="24"/>
        </w:rPr>
        <w:t>施工过程中，对原有设施（如看台、管网、网架等）进行临时保护，相关保护措施费用由投标人综合考虑，招标人不另行计费；因施工造成原有设施损坏的，由投标人负责修复或承担相应赔偿责任。</w:t>
      </w:r>
    </w:p>
    <w:p>
      <w:pPr>
        <w:pStyle w:val="11"/>
        <w:widowControl/>
        <w:numPr>
          <w:ilvl w:val="0"/>
          <w:numId w:val="3"/>
        </w:numPr>
        <w:tabs>
          <w:tab w:val="left" w:pos="482"/>
          <w:tab w:val="clear" w:pos="210"/>
        </w:tabs>
        <w:ind w:left="879" w:leftChars="0" w:hanging="397" w:firstLineChars="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color w:val="auto"/>
          <w:sz w:val="24"/>
        </w:rPr>
        <w:t>投标人报价时，需充分考虑施工期间的季节影响、材料价格波动、人工成本变化等风险因素，所有风险费用均纳入综合单价，结算时不另行调整。</w:t>
      </w:r>
    </w:p>
    <w:p>
      <w:pPr>
        <w:pStyle w:val="11"/>
        <w:widowControl/>
        <w:numPr>
          <w:numId w:val="0"/>
        </w:numPr>
        <w:tabs>
          <w:tab w:val="left" w:pos="482"/>
        </w:tabs>
        <w:ind w:leftChars="200"/>
        <w:rPr>
          <w:rFonts w:ascii="Times New Roman" w:hAnsi="Times New Roman" w:eastAsia="宋体" w:cs="Times New Roman"/>
          <w:color w:val="auto"/>
          <w:sz w:val="24"/>
        </w:rPr>
      </w:pPr>
      <w:r>
        <w:rPr>
          <w:rFonts w:hint="eastAsia" w:cs="Times New Roman"/>
          <w:color w:val="auto"/>
          <w:sz w:val="24"/>
          <w:lang w:eastAsia="zh-CN"/>
        </w:rPr>
        <w:t>（</w:t>
      </w:r>
      <w:r>
        <w:rPr>
          <w:rFonts w:hint="eastAsia" w:cs="Times New Roman"/>
          <w:color w:val="auto"/>
          <w:sz w:val="24"/>
          <w:lang w:val="en-US" w:eastAsia="zh-CN"/>
        </w:rPr>
        <w:t>10）</w:t>
      </w:r>
      <w:r>
        <w:rPr>
          <w:rFonts w:ascii="Times New Roman" w:hAnsi="Times New Roman" w:eastAsia="宋体" w:cs="Times New Roman"/>
          <w:color w:val="auto"/>
          <w:sz w:val="24"/>
        </w:rPr>
        <w:t>施工过程中，需配合学校正常教学秩序，合理安排施工时间（如避开上课、课间、晚自习等时段），减少施工噪音、扬尘对师生的影响，相关协调、管控费用由投标人综合考虑在报价内。</w:t>
      </w:r>
    </w:p>
    <w:p>
      <w:pPr>
        <w:pStyle w:val="11"/>
        <w:widowControl/>
        <w:numPr>
          <w:numId w:val="0"/>
        </w:numPr>
        <w:tabs>
          <w:tab w:val="left" w:pos="482"/>
        </w:tabs>
        <w:ind w:leftChars="200"/>
        <w:rPr>
          <w:rFonts w:hint="eastAsia" w:cs="Times New Roman"/>
          <w:color w:val="auto"/>
          <w:sz w:val="24"/>
          <w:lang w:val="en-US" w:eastAsia="zh-CN"/>
        </w:rPr>
      </w:pPr>
      <w:r>
        <w:rPr>
          <w:rFonts w:hint="eastAsia" w:cs="Times New Roman"/>
          <w:color w:val="auto"/>
          <w:sz w:val="24"/>
          <w:lang w:eastAsia="zh-CN"/>
        </w:rPr>
        <w:t>（</w:t>
      </w:r>
      <w:r>
        <w:rPr>
          <w:rFonts w:hint="eastAsia" w:cs="Times New Roman"/>
          <w:color w:val="auto"/>
          <w:sz w:val="24"/>
          <w:lang w:val="en-US" w:eastAsia="zh-CN"/>
        </w:rPr>
        <w:t>11）所供全塑型自结纹塑胶跑道（非渗水型）和人工草坪全部材料的品牌、型号、技术参数均符合本项目采购需求要求，并与投标文件所述内容保持完全一致。</w:t>
      </w:r>
    </w:p>
    <w:p>
      <w:pPr>
        <w:pStyle w:val="11"/>
        <w:widowControl/>
        <w:numPr>
          <w:numId w:val="0"/>
        </w:numPr>
        <w:tabs>
          <w:tab w:val="left" w:pos="482"/>
        </w:tabs>
        <w:ind w:leftChars="200"/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hint="eastAsia" w:cs="Times New Roman"/>
          <w:color w:val="auto"/>
          <w:sz w:val="24"/>
          <w:lang w:val="en-US" w:eastAsia="zh-CN"/>
        </w:rPr>
        <w:t>(12)塑胶面层、人工草皮、硅丙耐候型真石漆（水包砂）面层、油漆和户外耐候型脂肪族喷涂聚脲地坪等颜色按甲方确认样板。</w:t>
      </w:r>
      <w:bookmarkStart w:id="0" w:name="_GoBack"/>
      <w:bookmarkEnd w:id="0"/>
    </w:p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eastAsia"/>
          <w:lang w:val="zh-CN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402098"/>
    <w:multiLevelType w:val="singleLevel"/>
    <w:tmpl w:val="8C402098"/>
    <w:lvl w:ilvl="0" w:tentative="0">
      <w:start w:val="1"/>
      <w:numFmt w:val="decimal"/>
      <w:lvlText w:val="(%1)"/>
      <w:lvlJc w:val="left"/>
      <w:pPr>
        <w:tabs>
          <w:tab w:val="left" w:pos="210"/>
        </w:tabs>
        <w:ind w:left="425" w:hanging="425"/>
      </w:pPr>
      <w:rPr>
        <w:rFonts w:hint="default"/>
      </w:rPr>
    </w:lvl>
  </w:abstractNum>
  <w:abstractNum w:abstractNumId="1">
    <w:nsid w:val="AF3D37D0"/>
    <w:multiLevelType w:val="singleLevel"/>
    <w:tmpl w:val="AF3D37D0"/>
    <w:lvl w:ilvl="0" w:tentative="0">
      <w:start w:val="1"/>
      <w:numFmt w:val="decimal"/>
      <w:lvlText w:val="(%1)"/>
      <w:lvlJc w:val="left"/>
      <w:pPr>
        <w:tabs>
          <w:tab w:val="left" w:pos="210"/>
        </w:tabs>
        <w:ind w:left="425" w:hanging="425"/>
      </w:pPr>
      <w:rPr>
        <w:rFonts w:hint="default"/>
      </w:rPr>
    </w:lvl>
  </w:abstractNum>
  <w:abstractNum w:abstractNumId="2">
    <w:nsid w:val="42149CDB"/>
    <w:multiLevelType w:val="singleLevel"/>
    <w:tmpl w:val="42149CDB"/>
    <w:lvl w:ilvl="0" w:tentative="0">
      <w:start w:val="1"/>
      <w:numFmt w:val="chineseCounting"/>
      <w:suff w:val="nothing"/>
      <w:lvlText w:val="%1、"/>
      <w:lvlJc w:val="left"/>
      <w:pPr>
        <w:ind w:left="0" w:firstLine="482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63443"/>
    <w:rsid w:val="02763443"/>
    <w:rsid w:val="10FB3C68"/>
    <w:rsid w:val="19940C3D"/>
    <w:rsid w:val="1D9F7CD4"/>
    <w:rsid w:val="5A99359F"/>
    <w:rsid w:val="66612EDD"/>
    <w:rsid w:val="7C0E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spacing w:before="240" w:beforeLines="0" w:after="12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paragraph" w:styleId="3">
    <w:name w:val="heading 2"/>
    <w:next w:val="1"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60" w:lineRule="auto"/>
      <w:jc w:val="left"/>
      <w:outlineLvl w:val="1"/>
    </w:pPr>
    <w:rPr>
      <w:rFonts w:ascii="Times New Roman" w:hAnsi="Times New Roman" w:eastAsia="宋体" w:cs="Times New Roman"/>
      <w:b/>
      <w:sz w:val="24"/>
    </w:rPr>
  </w:style>
  <w:style w:type="paragraph" w:styleId="4">
    <w:name w:val="heading 3"/>
    <w:next w:val="1"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paragraph" w:styleId="5">
    <w:name w:val="heading 4"/>
    <w:next w:val="1"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60" w:lineRule="auto"/>
      <w:outlineLvl w:val="3"/>
    </w:pPr>
    <w:rPr>
      <w:rFonts w:ascii="Times New Roman" w:hAnsi="Times New Roman" w:eastAsia="宋体" w:cs="Times New Roman"/>
      <w:sz w:val="24"/>
    </w:rPr>
  </w:style>
  <w:style w:type="paragraph" w:styleId="6">
    <w:name w:val="heading 5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440" w:lineRule="exact"/>
      <w:jc w:val="left"/>
      <w:outlineLvl w:val="4"/>
    </w:pPr>
    <w:rPr>
      <w:rFonts w:ascii="Times New Roman" w:hAnsi="Times New Roman" w:eastAsia="宋体" w:cs="Times New Roman"/>
      <w:sz w:val="24"/>
    </w:rPr>
  </w:style>
  <w:style w:type="paragraph" w:styleId="7">
    <w:name w:val="heading 6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5"/>
    </w:pPr>
    <w:rPr>
      <w:rFonts w:ascii="Times New Roman" w:hAnsi="Times New Roman" w:eastAsia="宋体" w:cs="Times New Roman"/>
      <w:sz w:val="24"/>
    </w:rPr>
  </w:style>
  <w:style w:type="paragraph" w:styleId="8">
    <w:name w:val="heading 7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6"/>
    </w:pPr>
    <w:rPr>
      <w:rFonts w:ascii="Times New Roman" w:hAnsi="Times New Roman" w:eastAsia="宋体" w:cs="Times New Roman"/>
      <w:sz w:val="24"/>
    </w:rPr>
  </w:style>
  <w:style w:type="paragraph" w:styleId="9">
    <w:name w:val="heading 8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7"/>
    </w:pPr>
    <w:rPr>
      <w:rFonts w:ascii="Times New Roman" w:hAnsi="Times New Roman" w:eastAsia="宋体" w:cs="Times New Roman"/>
      <w:sz w:val="24"/>
    </w:rPr>
  </w:style>
  <w:style w:type="paragraph" w:styleId="10">
    <w:name w:val="heading 9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8"/>
    </w:pPr>
    <w:rPr>
      <w:rFonts w:ascii="Times New Roman" w:hAnsi="Times New Roman" w:eastAsia="宋体" w:cs="Times New Roman"/>
      <w:sz w:val="24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spacing w:after="120" w:afterAutospacing="0"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12">
    <w:name w:val="Subtitle"/>
    <w:qFormat/>
    <w:uiPriority w:val="0"/>
    <w:pPr>
      <w:widowControl w:val="0"/>
      <w:spacing w:beforeLines="0" w:beforeAutospacing="0" w:after="240" w:afterLines="0" w:afterAutospacing="0" w:line="240" w:lineRule="auto"/>
      <w:jc w:val="center"/>
      <w:outlineLvl w:val="9"/>
    </w:pPr>
    <w:rPr>
      <w:rFonts w:ascii="Times New Roman" w:hAnsi="Times New Roman" w:eastAsia="宋体" w:cs="Times New Roman"/>
      <w:kern w:val="28"/>
      <w:sz w:val="21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qFormat/>
    <w:uiPriority w:val="0"/>
    <w:pPr>
      <w:spacing w:before="240" w:beforeAutospacing="0" w:after="240" w:afterAutospacing="0" w:line="240" w:lineRule="auto"/>
      <w:jc w:val="center"/>
      <w:outlineLvl w:val="9"/>
    </w:pPr>
    <w:rPr>
      <w:rFonts w:ascii="Times New Roman" w:hAnsi="Times New Roman" w:eastAsia="宋体" w:cs="Times New Roman"/>
      <w:b/>
      <w:sz w:val="32"/>
    </w:rPr>
  </w:style>
  <w:style w:type="paragraph" w:customStyle="1" w:styleId="17">
    <w:name w:val="强调标题"/>
    <w:next w:val="1"/>
    <w:qFormat/>
    <w:uiPriority w:val="0"/>
    <w:pPr>
      <w:spacing w:after="120" w:line="360" w:lineRule="auto"/>
      <w:ind w:firstLine="420" w:firstLineChars="200"/>
      <w:outlineLvl w:val="0"/>
    </w:pPr>
    <w:rPr>
      <w:rFonts w:ascii="Calibri" w:hAnsi="Calibri" w:eastAsia="宋体" w:cs="Times New Roman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393</Words>
  <Characters>426</Characters>
  <Lines>0</Lines>
  <Paragraphs>0</Paragraphs>
  <TotalTime>43</TotalTime>
  <ScaleCrop>false</ScaleCrop>
  <LinksUpToDate>false</LinksUpToDate>
  <CharactersWithSpaces>427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2026-04-30T07:33:00Z</dcterms:created>
  <dc:creator>Administrator</dc:creator>
  <cp:lastModifiedBy>Administrator</cp:lastModifiedBy>
  <dcterms:modified xsi:type="dcterms:W3CDTF">2026-05-27T14:42:53Z</dcterms:modified>
  <dc:title>江苏省宿迁中学学校田径场改造项目工程量清单编制说明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eyJoZGlkIjoiMTQ1ZTI2NzNjNzc4MmNhZjg4NThmYWEwOGM2YmUyZmIiLCJ1c2VySWQiOiIyNDQ4NTMzMzEifQ==</vt:lpwstr>
  </property>
  <property fmtid="{D5CDD505-2E9C-101B-9397-08002B2CF9AE}" pid="4" name="ICV">
    <vt:lpwstr>36D832A631E849F1A911F4A8CBD4F597_13</vt:lpwstr>
  </property>
</Properties>
</file>